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77" w:rsidRDefault="00A26477" w:rsidP="00A26477">
      <w:pPr>
        <w:spacing w:line="240" w:lineRule="atLeast"/>
        <w:rPr>
          <w:rFonts w:ascii="Athelas" w:hAnsi="Athelas"/>
          <w:b/>
          <w:color w:val="000000" w:themeColor="text1"/>
          <w:sz w:val="32"/>
          <w:szCs w:val="32"/>
        </w:rPr>
      </w:pPr>
      <w:r w:rsidRPr="00A26477">
        <w:rPr>
          <w:rFonts w:ascii="Athelas" w:hAnsi="Athelas"/>
          <w:b/>
          <w:color w:val="000000" w:themeColor="text1"/>
          <w:sz w:val="32"/>
          <w:szCs w:val="32"/>
        </w:rPr>
        <w:t xml:space="preserve">Vorlage: </w:t>
      </w:r>
      <w:r>
        <w:rPr>
          <w:rFonts w:ascii="Athelas" w:hAnsi="Athelas"/>
          <w:b/>
          <w:color w:val="000000" w:themeColor="text1"/>
          <w:sz w:val="32"/>
          <w:szCs w:val="32"/>
        </w:rPr>
        <w:t>Kurzinfos</w:t>
      </w:r>
      <w:r w:rsidRPr="00A26477">
        <w:rPr>
          <w:rFonts w:ascii="Athelas" w:hAnsi="Athelas"/>
          <w:b/>
          <w:color w:val="000000" w:themeColor="text1"/>
          <w:sz w:val="32"/>
          <w:szCs w:val="32"/>
        </w:rPr>
        <w:t xml:space="preserve"> zu </w:t>
      </w:r>
      <w:r>
        <w:rPr>
          <w:rFonts w:ascii="Athelas" w:hAnsi="Athelas"/>
          <w:b/>
          <w:color w:val="000000" w:themeColor="text1"/>
          <w:sz w:val="32"/>
          <w:szCs w:val="32"/>
        </w:rPr>
        <w:t xml:space="preserve">Handlungsmöglichkeiten </w:t>
      </w:r>
    </w:p>
    <w:p w:rsidR="00A26477" w:rsidRPr="00595D48" w:rsidRDefault="00A26477" w:rsidP="00A26477">
      <w:pPr>
        <w:spacing w:line="240" w:lineRule="atLeast"/>
        <w:rPr>
          <w:rFonts w:ascii="Athelas" w:hAnsi="Athelas"/>
          <w:color w:val="F68C50"/>
          <w:szCs w:val="18"/>
        </w:rPr>
      </w:pPr>
    </w:p>
    <w:p w:rsidR="00A26477" w:rsidRPr="00595D48" w:rsidRDefault="00A26477" w:rsidP="00A26477">
      <w:pPr>
        <w:rPr>
          <w:rFonts w:ascii="Athelas" w:hAnsi="Athelas" w:cs="Arial"/>
          <w:b/>
          <w:szCs w:val="18"/>
        </w:rPr>
      </w:pPr>
      <w:r w:rsidRPr="00595D48">
        <w:rPr>
          <w:rFonts w:ascii="Athelas" w:hAnsi="Athelas" w:cs="Arial"/>
          <w:b/>
          <w:szCs w:val="18"/>
        </w:rPr>
        <w:t>Haltung: Wir haben einen Schutzauftrag gegenüber Kindern</w:t>
      </w:r>
      <w:r w:rsidR="009F00A2">
        <w:rPr>
          <w:rFonts w:ascii="Athelas" w:hAnsi="Athelas" w:cs="Arial"/>
          <w:b/>
          <w:szCs w:val="18"/>
        </w:rPr>
        <w:t xml:space="preserve">, </w:t>
      </w:r>
      <w:r>
        <w:rPr>
          <w:rFonts w:ascii="Athelas" w:hAnsi="Athelas" w:cs="Arial"/>
          <w:b/>
          <w:szCs w:val="18"/>
        </w:rPr>
        <w:t>Jugendlichen</w:t>
      </w:r>
      <w:r w:rsidR="009F00A2">
        <w:rPr>
          <w:rFonts w:ascii="Athelas" w:hAnsi="Athelas" w:cs="Arial"/>
          <w:b/>
          <w:szCs w:val="18"/>
        </w:rPr>
        <w:t xml:space="preserve"> und uns anvertrauten Erwachsenen</w:t>
      </w:r>
      <w:r w:rsidRPr="00595D48">
        <w:rPr>
          <w:rFonts w:ascii="Athelas" w:hAnsi="Athelas" w:cs="Arial"/>
          <w:b/>
          <w:szCs w:val="18"/>
        </w:rPr>
        <w:t xml:space="preserve"> - und tragen Verantwortung</w:t>
      </w:r>
      <w:r w:rsidRPr="00595D48">
        <w:rPr>
          <w:rFonts w:ascii="Athelas" w:hAnsi="Athelas" w:cs="Arial"/>
          <w:b/>
          <w:szCs w:val="18"/>
        </w:rPr>
        <w:br/>
      </w:r>
      <w:r w:rsidRPr="00595D48">
        <w:rPr>
          <w:rFonts w:ascii="Athelas" w:hAnsi="Athelas" w:cs="Arial"/>
          <w:szCs w:val="18"/>
        </w:rPr>
        <w:t xml:space="preserve">Wir betrachten sexuelle Übergriffe als zentralen Angriff auf die Integrität und Persönlichkeit und setzen uns für den bestmöglichen Schutz ein. Für die Einhaltung der Grenzen sind </w:t>
      </w:r>
      <w:r w:rsidR="009F00A2">
        <w:rPr>
          <w:rFonts w:ascii="Athelas" w:hAnsi="Athelas" w:cs="Arial"/>
          <w:szCs w:val="18"/>
        </w:rPr>
        <w:t>wir als Kirche</w:t>
      </w:r>
      <w:r w:rsidRPr="00595D48">
        <w:rPr>
          <w:rFonts w:ascii="Athelas" w:hAnsi="Athelas" w:cs="Arial"/>
          <w:szCs w:val="18"/>
        </w:rPr>
        <w:t xml:space="preserve"> verantwortlich.  </w:t>
      </w:r>
    </w:p>
    <w:p w:rsidR="00A26477" w:rsidRPr="00595D48" w:rsidRDefault="00A26477" w:rsidP="00A26477">
      <w:pPr>
        <w:autoSpaceDE w:val="0"/>
        <w:autoSpaceDN w:val="0"/>
        <w:adjustRightInd w:val="0"/>
        <w:rPr>
          <w:rFonts w:ascii="Athelas" w:hAnsi="Athelas" w:cs="Arial"/>
          <w:color w:val="0D0D0D"/>
          <w:szCs w:val="18"/>
        </w:rPr>
      </w:pPr>
    </w:p>
    <w:p w:rsidR="00A26477" w:rsidRPr="00595D48" w:rsidRDefault="00A26477" w:rsidP="00A26477">
      <w:pPr>
        <w:autoSpaceDE w:val="0"/>
        <w:autoSpaceDN w:val="0"/>
        <w:adjustRightInd w:val="0"/>
        <w:spacing w:after="60"/>
        <w:rPr>
          <w:rFonts w:ascii="Athelas" w:hAnsi="Athelas" w:cs="Arial"/>
          <w:color w:val="F68C50"/>
          <w:sz w:val="24"/>
        </w:rPr>
      </w:pPr>
      <w:r w:rsidRPr="00595D48">
        <w:rPr>
          <w:rFonts w:ascii="Athelas" w:hAnsi="Athelas" w:cs="Arial"/>
          <w:color w:val="F68C50"/>
          <w:sz w:val="24"/>
        </w:rPr>
        <w:t>Transparenter Umgang mit Risikosituationen: Prävention und Risikomanagement</w:t>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Nähe und Distanz</w:t>
      </w:r>
      <w:r w:rsidRPr="00595D48">
        <w:rPr>
          <w:rFonts w:ascii="Athelas" w:hAnsi="Athelas" w:cs="Arial"/>
          <w:szCs w:val="18"/>
        </w:rPr>
        <w:t xml:space="preserve">: Beziehungsarbeit bedingt Nähe, damit sich </w:t>
      </w:r>
      <w:r w:rsidR="009F00A2">
        <w:rPr>
          <w:rFonts w:ascii="Athelas" w:hAnsi="Athelas" w:cs="Arial"/>
          <w:szCs w:val="18"/>
        </w:rPr>
        <w:t xml:space="preserve">Menschen </w:t>
      </w:r>
      <w:r w:rsidRPr="00595D48">
        <w:rPr>
          <w:rFonts w:ascii="Athelas" w:hAnsi="Athelas" w:cs="Arial"/>
          <w:szCs w:val="18"/>
        </w:rPr>
        <w:t>wohl fühlen. Ebenso wichtig ist die klare Distanz. Damit diese Balance im Alltag gelingt, braucht es Reflexion, Austausch und Transparenz zu konkreten Alltagssituationen.</w:t>
      </w:r>
      <w:r w:rsidRPr="00595D48">
        <w:rPr>
          <w:rFonts w:ascii="Athelas" w:hAnsi="Athelas" w:cs="Arial"/>
          <w:szCs w:val="18"/>
        </w:rPr>
        <w:br/>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Reflexionsfragen zu Risikosituationen</w:t>
      </w:r>
      <w:r w:rsidRPr="00595D48">
        <w:rPr>
          <w:rFonts w:ascii="Athelas" w:hAnsi="Athelas" w:cs="Arial"/>
          <w:szCs w:val="18"/>
        </w:rPr>
        <w:t xml:space="preserve">: Folgende Fragen zur Gestaltung von Risikosituationen sind in den Teams und Angeboten handlungsleitend:  </w:t>
      </w:r>
      <w:r w:rsidRPr="00595D48">
        <w:rPr>
          <w:rFonts w:ascii="Athelas" w:hAnsi="Athelas" w:cs="Arial"/>
          <w:szCs w:val="18"/>
        </w:rPr>
        <w:br/>
      </w:r>
      <w:r w:rsidRPr="00595D48">
        <w:rPr>
          <w:rFonts w:ascii="Athelas" w:hAnsi="Athelas" w:cs="Arial"/>
          <w:szCs w:val="18"/>
        </w:rPr>
        <w:sym w:font="Wingdings" w:char="F0E0"/>
      </w:r>
      <w:r w:rsidRPr="00595D48">
        <w:rPr>
          <w:rFonts w:ascii="Athelas" w:hAnsi="Athelas" w:cs="Arial"/>
          <w:szCs w:val="18"/>
        </w:rPr>
        <w:t xml:space="preserve"> Was passt zur Rolle und Auftrag als Leitende in konkreten Risikosituationen (Rollenklarheit)?</w:t>
      </w:r>
      <w:r w:rsidRPr="00595D48">
        <w:rPr>
          <w:rFonts w:ascii="Athelas" w:hAnsi="Athelas" w:cs="Arial"/>
          <w:szCs w:val="18"/>
        </w:rPr>
        <w:br/>
      </w:r>
      <w:r w:rsidRPr="00595D48">
        <w:rPr>
          <w:rFonts w:ascii="Athelas" w:hAnsi="Athelas" w:cs="Arial"/>
          <w:szCs w:val="18"/>
        </w:rPr>
        <w:sym w:font="Wingdings" w:char="F0E0"/>
      </w:r>
      <w:r w:rsidRPr="00595D48">
        <w:rPr>
          <w:rFonts w:ascii="Athelas" w:hAnsi="Athelas" w:cs="Arial"/>
          <w:szCs w:val="18"/>
        </w:rPr>
        <w:t xml:space="preserve"> Wie gestalten wir Risikosituationen </w:t>
      </w:r>
      <w:r w:rsidR="009F00A2">
        <w:rPr>
          <w:rFonts w:ascii="Athelas" w:hAnsi="Athelas" w:cs="Arial"/>
          <w:szCs w:val="18"/>
        </w:rPr>
        <w:t>situations</w:t>
      </w:r>
      <w:r w:rsidRPr="00595D48">
        <w:rPr>
          <w:rFonts w:ascii="Athelas" w:hAnsi="Athelas" w:cs="Arial"/>
          <w:szCs w:val="18"/>
        </w:rPr>
        <w:t>angemessen und risikoarm?</w:t>
      </w:r>
      <w:r w:rsidRPr="00595D48">
        <w:rPr>
          <w:rFonts w:ascii="Athelas" w:hAnsi="Athelas" w:cs="Arial"/>
          <w:szCs w:val="18"/>
        </w:rPr>
        <w:br/>
      </w:r>
      <w:r w:rsidRPr="00595D48">
        <w:rPr>
          <w:rFonts w:ascii="Athelas" w:hAnsi="Athelas" w:cs="Arial"/>
          <w:szCs w:val="18"/>
        </w:rPr>
        <w:sym w:font="Wingdings" w:char="F0E0"/>
      </w:r>
      <w:r w:rsidRPr="00595D48">
        <w:rPr>
          <w:rFonts w:ascii="Athelas" w:hAnsi="Athelas" w:cs="Arial"/>
          <w:szCs w:val="18"/>
        </w:rPr>
        <w:t xml:space="preserve"> </w:t>
      </w:r>
      <w:r w:rsidR="009F00A2">
        <w:rPr>
          <w:rFonts w:ascii="Athelas" w:hAnsi="Athelas" w:cs="Arial"/>
          <w:szCs w:val="18"/>
        </w:rPr>
        <w:t>Wann und gegenüber wem braucht es Transparenz</w:t>
      </w:r>
      <w:r w:rsidRPr="00595D48">
        <w:rPr>
          <w:rFonts w:ascii="Athelas" w:hAnsi="Athelas" w:cs="Arial"/>
          <w:szCs w:val="18"/>
        </w:rPr>
        <w:t>?</w:t>
      </w:r>
      <w:r w:rsidRPr="00595D48">
        <w:rPr>
          <w:rFonts w:ascii="Athelas" w:hAnsi="Athelas" w:cs="Arial"/>
          <w:szCs w:val="18"/>
        </w:rPr>
        <w:br/>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Feedbackkultur</w:t>
      </w:r>
      <w:r w:rsidRPr="00595D48">
        <w:rPr>
          <w:rFonts w:ascii="Athelas" w:hAnsi="Athelas" w:cs="Arial"/>
          <w:szCs w:val="18"/>
        </w:rPr>
        <w:t>: Rund um Risikosituationen begegnen wir uns vertrauensvoll, aber anspruchsvoll, d.h. wir verbessern gemeinsam und stetig die Qualität und Transparenz rund um Risikosituationen. Gegenseitige Rückmeldungen und Austausch zu Nähe und Distanz im Graubereich sind explizit erwünscht.</w:t>
      </w:r>
      <w:r w:rsidRPr="00595D48">
        <w:rPr>
          <w:rFonts w:ascii="Athelas" w:hAnsi="Athelas" w:cs="Arial"/>
          <w:szCs w:val="18"/>
        </w:rPr>
        <w:br/>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Schwelle für Taten</w:t>
      </w:r>
      <w:r w:rsidRPr="00595D48">
        <w:rPr>
          <w:rFonts w:ascii="Athelas" w:hAnsi="Athelas" w:cs="Arial"/>
          <w:szCs w:val="18"/>
        </w:rPr>
        <w:t>: Mit Transparenz, Feedback und Qualitätssicherung erschweren wir, dass Risikosituationen schrittweise für den Aufbau von sexueller Ausbeutung ausgenutzt werden können. Subtile Distanzverluste gehen einer Tat voraus, lange bevor es zu Straftaten kommt (</w:t>
      </w:r>
      <w:proofErr w:type="spellStart"/>
      <w:r w:rsidRPr="00595D48">
        <w:rPr>
          <w:rFonts w:ascii="Athelas" w:hAnsi="Athelas" w:cs="Arial"/>
          <w:szCs w:val="18"/>
        </w:rPr>
        <w:t>Grooming</w:t>
      </w:r>
      <w:proofErr w:type="spellEnd"/>
      <w:r w:rsidRPr="00595D48">
        <w:rPr>
          <w:rFonts w:ascii="Athelas" w:hAnsi="Athelas" w:cs="Arial"/>
          <w:szCs w:val="18"/>
        </w:rPr>
        <w:t>). Täter</w:t>
      </w:r>
      <w:r>
        <w:rPr>
          <w:rFonts w:ascii="Athelas" w:hAnsi="Athelas" w:cs="Arial"/>
          <w:szCs w:val="18"/>
        </w:rPr>
        <w:t xml:space="preserve">*innen </w:t>
      </w:r>
      <w:r w:rsidRPr="00595D48">
        <w:rPr>
          <w:rFonts w:ascii="Athelas" w:hAnsi="Athelas" w:cs="Arial"/>
          <w:szCs w:val="18"/>
        </w:rPr>
        <w:t>gehen sehr strategisch vor. Mit gemeinsamen Haltungen rund um heikle Situationen schaffen wir Schwellen für den Aufbau von Taten.</w:t>
      </w:r>
      <w:r w:rsidRPr="00595D48">
        <w:rPr>
          <w:rFonts w:ascii="Athelas" w:hAnsi="Athelas" w:cs="Arial"/>
          <w:szCs w:val="18"/>
        </w:rPr>
        <w:br/>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Schutz aller Seiten</w:t>
      </w:r>
      <w:r w:rsidRPr="00595D48">
        <w:rPr>
          <w:rFonts w:ascii="Athelas" w:hAnsi="Athelas" w:cs="Arial"/>
          <w:szCs w:val="18"/>
        </w:rPr>
        <w:t>: Ein vorausschauendes Risikomanagement dient dem Schutz aller: Dem Schutz der Kinder vor Übergriffen und dem Schutz der Leitungspersonen vor Missverständnissen und Falschanschuldigungen.</w:t>
      </w:r>
      <w:r w:rsidRPr="00595D48">
        <w:rPr>
          <w:rFonts w:ascii="Athelas" w:hAnsi="Athelas" w:cs="Arial"/>
          <w:szCs w:val="18"/>
        </w:rPr>
        <w:br/>
      </w:r>
    </w:p>
    <w:p w:rsidR="00A26477" w:rsidRPr="00595D48" w:rsidRDefault="00A26477" w:rsidP="00A26477">
      <w:pPr>
        <w:pStyle w:val="Listenabsatz"/>
        <w:numPr>
          <w:ilvl w:val="0"/>
          <w:numId w:val="14"/>
        </w:numPr>
        <w:autoSpaceDE w:val="0"/>
        <w:autoSpaceDN w:val="0"/>
        <w:adjustRightInd w:val="0"/>
        <w:ind w:left="426"/>
        <w:rPr>
          <w:rFonts w:ascii="Athelas" w:hAnsi="Athelas" w:cs="Arial"/>
          <w:szCs w:val="18"/>
        </w:rPr>
      </w:pPr>
      <w:r w:rsidRPr="00595D48">
        <w:rPr>
          <w:rFonts w:ascii="Athelas" w:hAnsi="Athelas" w:cs="Arial"/>
          <w:b/>
          <w:szCs w:val="18"/>
        </w:rPr>
        <w:t>Unterscheidung von Verdacht auf Straftaten</w:t>
      </w:r>
      <w:r w:rsidRPr="00595D48">
        <w:rPr>
          <w:rFonts w:ascii="Athelas" w:hAnsi="Athelas" w:cs="Arial"/>
          <w:szCs w:val="18"/>
        </w:rPr>
        <w:t>: Wer im Graubereich Grenzen überschreitet, ist noch keine Sexualstraftäter</w:t>
      </w:r>
      <w:r>
        <w:rPr>
          <w:rFonts w:ascii="Athelas" w:hAnsi="Athelas" w:cs="Arial"/>
          <w:szCs w:val="18"/>
        </w:rPr>
        <w:t>*</w:t>
      </w:r>
      <w:r w:rsidRPr="00595D48">
        <w:rPr>
          <w:rFonts w:ascii="Athelas" w:hAnsi="Athelas" w:cs="Arial"/>
          <w:szCs w:val="18"/>
        </w:rPr>
        <w:t>in und steht nicht unter Verdacht</w:t>
      </w:r>
      <w:r>
        <w:rPr>
          <w:rFonts w:ascii="Athelas" w:hAnsi="Athelas" w:cs="Arial"/>
          <w:szCs w:val="18"/>
        </w:rPr>
        <w:t xml:space="preserve">, </w:t>
      </w:r>
      <w:r w:rsidRPr="00595D48">
        <w:rPr>
          <w:rFonts w:ascii="Athelas" w:hAnsi="Athelas" w:cs="Arial"/>
          <w:szCs w:val="18"/>
        </w:rPr>
        <w:t xml:space="preserve"> ist jedoch verpflichtet, sich der gemeinsamen Reflexion zu stellen, das eigene Verhalten zu überdenken und zu korrigieren bzw. den Haltungen des </w:t>
      </w:r>
      <w:r>
        <w:rPr>
          <w:rFonts w:ascii="Athelas" w:hAnsi="Athelas" w:cs="Arial"/>
          <w:szCs w:val="18"/>
        </w:rPr>
        <w:t>Teams</w:t>
      </w:r>
      <w:r w:rsidRPr="00595D48">
        <w:rPr>
          <w:rFonts w:ascii="Athelas" w:hAnsi="Athelas" w:cs="Arial"/>
          <w:szCs w:val="18"/>
        </w:rPr>
        <w:t xml:space="preserve"> anzupassen. </w:t>
      </w:r>
    </w:p>
    <w:p w:rsidR="00A26477" w:rsidRPr="00595D48" w:rsidRDefault="00A26477" w:rsidP="00A26477">
      <w:pPr>
        <w:autoSpaceDE w:val="0"/>
        <w:autoSpaceDN w:val="0"/>
        <w:adjustRightInd w:val="0"/>
        <w:rPr>
          <w:rFonts w:ascii="Athelas" w:hAnsi="Athelas" w:cs="Arial"/>
          <w:szCs w:val="18"/>
        </w:rPr>
      </w:pPr>
    </w:p>
    <w:p w:rsidR="00A26477" w:rsidRPr="00595D48" w:rsidRDefault="00A26477" w:rsidP="00A26477">
      <w:pPr>
        <w:autoSpaceDE w:val="0"/>
        <w:autoSpaceDN w:val="0"/>
        <w:adjustRightInd w:val="0"/>
        <w:spacing w:after="60"/>
        <w:rPr>
          <w:rFonts w:ascii="Athelas" w:hAnsi="Athelas" w:cs="Arial"/>
          <w:color w:val="F68C50"/>
          <w:sz w:val="24"/>
        </w:rPr>
      </w:pPr>
      <w:r w:rsidRPr="00595D48">
        <w:rPr>
          <w:rFonts w:ascii="Athelas" w:hAnsi="Athelas" w:cs="Arial"/>
          <w:color w:val="F68C50"/>
          <w:sz w:val="24"/>
        </w:rPr>
        <w:t>Kompetenter Umgang mit Verdachtsmomenten: Intervention und Krisenmanagement</w:t>
      </w:r>
    </w:p>
    <w:p w:rsidR="00A26477" w:rsidRPr="00595D48" w:rsidRDefault="00A26477" w:rsidP="00A26477">
      <w:pPr>
        <w:pStyle w:val="Listenabsatz"/>
        <w:numPr>
          <w:ilvl w:val="0"/>
          <w:numId w:val="15"/>
        </w:numPr>
        <w:autoSpaceDE w:val="0"/>
        <w:autoSpaceDN w:val="0"/>
        <w:adjustRightInd w:val="0"/>
        <w:spacing w:after="60"/>
        <w:ind w:left="426"/>
        <w:rPr>
          <w:rFonts w:ascii="Athelas" w:hAnsi="Athelas" w:cs="Arial"/>
          <w:szCs w:val="18"/>
        </w:rPr>
      </w:pPr>
      <w:r w:rsidRPr="00595D48">
        <w:rPr>
          <w:rFonts w:ascii="Athelas" w:hAnsi="Athelas" w:cs="Arial"/>
          <w:b/>
          <w:szCs w:val="18"/>
        </w:rPr>
        <w:t>Koordinierte Schritte durch Fallführung und den Krisenstab</w:t>
      </w:r>
      <w:r w:rsidRPr="00595D48">
        <w:rPr>
          <w:rFonts w:ascii="Athelas" w:hAnsi="Athelas" w:cs="Arial"/>
          <w:szCs w:val="18"/>
        </w:rPr>
        <w:t xml:space="preserve">: </w:t>
      </w:r>
      <w:r w:rsidR="009F00A2">
        <w:rPr>
          <w:rFonts w:ascii="Athelas" w:hAnsi="Athelas" w:cs="Arial"/>
          <w:szCs w:val="18"/>
        </w:rPr>
        <w:t>Handeln Sie</w:t>
      </w:r>
      <w:r w:rsidRPr="00595D48">
        <w:rPr>
          <w:rFonts w:ascii="Athelas" w:hAnsi="Athelas" w:cs="Arial"/>
          <w:szCs w:val="18"/>
        </w:rPr>
        <w:t xml:space="preserve"> bei Verdacht (z.B. Signale</w:t>
      </w:r>
      <w:r w:rsidR="009F00A2">
        <w:rPr>
          <w:rFonts w:ascii="Athelas" w:hAnsi="Athelas" w:cs="Arial"/>
          <w:szCs w:val="18"/>
        </w:rPr>
        <w:t xml:space="preserve"> und Aussagen</w:t>
      </w:r>
      <w:r w:rsidRPr="00595D48">
        <w:rPr>
          <w:rFonts w:ascii="Athelas" w:hAnsi="Athelas" w:cs="Arial"/>
          <w:szCs w:val="18"/>
        </w:rPr>
        <w:t>) auf Straftaten nie ohne Absprache mit der internen Absprechperson</w:t>
      </w:r>
      <w:r>
        <w:rPr>
          <w:rFonts w:ascii="Athelas" w:hAnsi="Athelas" w:cs="Arial"/>
          <w:szCs w:val="18"/>
        </w:rPr>
        <w:t xml:space="preserve"> oder der dafür zuständigen Fallführung</w:t>
      </w:r>
      <w:r w:rsidRPr="00595D48">
        <w:rPr>
          <w:rFonts w:ascii="Athelas" w:hAnsi="Athelas" w:cs="Arial"/>
          <w:szCs w:val="18"/>
        </w:rPr>
        <w:t xml:space="preserve">. Alle Schritte (z.B. der Einbezug von oder die Kommunikation an weitere Personen) obliegen der Fallführung und </w:t>
      </w:r>
      <w:r w:rsidR="009F00A2">
        <w:rPr>
          <w:rFonts w:ascii="Athelas" w:hAnsi="Athelas" w:cs="Arial"/>
          <w:szCs w:val="18"/>
        </w:rPr>
        <w:t>sind</w:t>
      </w:r>
      <w:r w:rsidRPr="00595D48">
        <w:rPr>
          <w:rFonts w:ascii="Athelas" w:hAnsi="Athelas" w:cs="Arial"/>
          <w:szCs w:val="18"/>
        </w:rPr>
        <w:t xml:space="preserve"> mit externen Fachstellen </w:t>
      </w:r>
      <w:r w:rsidR="009F00A2">
        <w:rPr>
          <w:rFonts w:ascii="Athelas" w:hAnsi="Athelas" w:cs="Arial"/>
          <w:szCs w:val="18"/>
        </w:rPr>
        <w:t>abgesprochen</w:t>
      </w:r>
      <w:r w:rsidRPr="00595D48">
        <w:rPr>
          <w:rFonts w:ascii="Athelas" w:hAnsi="Athelas" w:cs="Arial"/>
          <w:szCs w:val="18"/>
        </w:rPr>
        <w:t>.</w:t>
      </w:r>
      <w:r w:rsidRPr="00595D48">
        <w:rPr>
          <w:rFonts w:ascii="Athelas" w:hAnsi="Athelas" w:cs="Arial"/>
          <w:szCs w:val="18"/>
        </w:rPr>
        <w:br/>
      </w:r>
    </w:p>
    <w:p w:rsidR="00A26477" w:rsidRPr="00595D48" w:rsidRDefault="00A26477" w:rsidP="00A26477">
      <w:pPr>
        <w:pStyle w:val="Listenabsatz"/>
        <w:numPr>
          <w:ilvl w:val="0"/>
          <w:numId w:val="15"/>
        </w:numPr>
        <w:autoSpaceDE w:val="0"/>
        <w:autoSpaceDN w:val="0"/>
        <w:adjustRightInd w:val="0"/>
        <w:spacing w:after="60"/>
        <w:ind w:left="426"/>
        <w:rPr>
          <w:rFonts w:ascii="Athelas" w:hAnsi="Athelas" w:cs="Arial"/>
          <w:szCs w:val="18"/>
        </w:rPr>
      </w:pPr>
      <w:r w:rsidRPr="00595D48">
        <w:rPr>
          <w:rFonts w:ascii="Athelas" w:hAnsi="Athelas" w:cs="Arial"/>
          <w:b/>
          <w:szCs w:val="18"/>
        </w:rPr>
        <w:t>Interne Meldepflicht</w:t>
      </w:r>
      <w:r w:rsidRPr="00595D48">
        <w:rPr>
          <w:rFonts w:ascii="Athelas" w:hAnsi="Athelas" w:cs="Arial"/>
          <w:szCs w:val="18"/>
        </w:rPr>
        <w:t xml:space="preserve">: Bei </w:t>
      </w:r>
      <w:r w:rsidR="00DE739F">
        <w:rPr>
          <w:rFonts w:ascii="Athelas" w:hAnsi="Athelas" w:cs="Arial"/>
          <w:szCs w:val="18"/>
        </w:rPr>
        <w:t xml:space="preserve">begründetem </w:t>
      </w:r>
      <w:r w:rsidRPr="00595D48">
        <w:rPr>
          <w:rFonts w:ascii="Athelas" w:hAnsi="Athelas" w:cs="Arial"/>
          <w:szCs w:val="18"/>
        </w:rPr>
        <w:t xml:space="preserve">Verdacht auf Strafdelikte </w:t>
      </w:r>
      <w:r w:rsidR="00DE739F">
        <w:rPr>
          <w:rFonts w:ascii="Athelas" w:hAnsi="Athelas" w:cs="Arial"/>
          <w:szCs w:val="18"/>
        </w:rPr>
        <w:t xml:space="preserve">(z.B. Aussagen zu Strafdelikten) </w:t>
      </w:r>
      <w:r w:rsidRPr="00595D48">
        <w:rPr>
          <w:rFonts w:ascii="Athelas" w:hAnsi="Athelas" w:cs="Arial"/>
          <w:szCs w:val="18"/>
        </w:rPr>
        <w:t>besteht interne Meldepflicht an die dafür definierte Ansprechperson</w:t>
      </w:r>
      <w:r w:rsidR="00DE739F">
        <w:rPr>
          <w:rFonts w:ascii="Athelas" w:hAnsi="Athelas" w:cs="Arial"/>
          <w:szCs w:val="18"/>
        </w:rPr>
        <w:t>en in den Landeskirchen</w:t>
      </w:r>
      <w:r w:rsidRPr="00595D48">
        <w:rPr>
          <w:rFonts w:ascii="Athelas" w:hAnsi="Athelas" w:cs="Arial"/>
          <w:szCs w:val="18"/>
        </w:rPr>
        <w:t>. Diese garantier</w:t>
      </w:r>
      <w:r w:rsidR="00DE739F">
        <w:rPr>
          <w:rFonts w:ascii="Athelas" w:hAnsi="Athelas" w:cs="Arial"/>
          <w:szCs w:val="18"/>
        </w:rPr>
        <w:t>en</w:t>
      </w:r>
      <w:r w:rsidRPr="00595D48">
        <w:rPr>
          <w:rFonts w:ascii="Athelas" w:hAnsi="Athelas" w:cs="Arial"/>
          <w:szCs w:val="18"/>
        </w:rPr>
        <w:t xml:space="preserve"> ein bedachtes, professionelles und koordiniertes Vorgehen.</w:t>
      </w:r>
      <w:r w:rsidRPr="00595D48">
        <w:rPr>
          <w:rFonts w:ascii="Athelas" w:hAnsi="Athelas" w:cs="Arial"/>
          <w:szCs w:val="18"/>
        </w:rPr>
        <w:br/>
      </w:r>
    </w:p>
    <w:p w:rsidR="00A26477" w:rsidRDefault="00A26477" w:rsidP="00A26477">
      <w:pPr>
        <w:pStyle w:val="Listenabsatz"/>
        <w:numPr>
          <w:ilvl w:val="0"/>
          <w:numId w:val="15"/>
        </w:numPr>
        <w:autoSpaceDE w:val="0"/>
        <w:autoSpaceDN w:val="0"/>
        <w:adjustRightInd w:val="0"/>
        <w:spacing w:after="60"/>
        <w:ind w:left="426"/>
        <w:rPr>
          <w:rFonts w:ascii="Athelas" w:hAnsi="Athelas" w:cs="Arial"/>
          <w:szCs w:val="18"/>
        </w:rPr>
      </w:pPr>
      <w:r w:rsidRPr="00595D48">
        <w:rPr>
          <w:rFonts w:ascii="Athelas" w:hAnsi="Athelas" w:cs="Arial"/>
          <w:b/>
          <w:szCs w:val="18"/>
        </w:rPr>
        <w:t>Offenes Ohr</w:t>
      </w:r>
      <w:r w:rsidRPr="00595D48">
        <w:rPr>
          <w:rFonts w:ascii="Athelas" w:hAnsi="Athelas" w:cs="Arial"/>
          <w:szCs w:val="18"/>
        </w:rPr>
        <w:t xml:space="preserve">: Wenn sich </w:t>
      </w:r>
      <w:r w:rsidR="009F00A2">
        <w:rPr>
          <w:rFonts w:ascii="Athelas" w:hAnsi="Athelas" w:cs="Arial"/>
          <w:szCs w:val="18"/>
        </w:rPr>
        <w:t xml:space="preserve">jemand </w:t>
      </w:r>
      <w:r w:rsidRPr="00595D48">
        <w:rPr>
          <w:rFonts w:ascii="Athelas" w:hAnsi="Athelas" w:cs="Arial"/>
          <w:szCs w:val="18"/>
        </w:rPr>
        <w:t xml:space="preserve">anvertraut und von sexueller Ausbeutung erzählt, </w:t>
      </w:r>
      <w:r w:rsidR="009F00A2">
        <w:rPr>
          <w:rFonts w:ascii="Athelas" w:hAnsi="Athelas" w:cs="Arial"/>
          <w:szCs w:val="18"/>
        </w:rPr>
        <w:t>ist es wichtig, zunächst von einer möglichen Glaubhaftigkeit auszugehen</w:t>
      </w:r>
      <w:r w:rsidRPr="00595D48">
        <w:rPr>
          <w:rFonts w:ascii="Athelas" w:hAnsi="Athelas" w:cs="Arial"/>
          <w:szCs w:val="18"/>
        </w:rPr>
        <w:t>. Ermutige</w:t>
      </w:r>
      <w:r w:rsidR="009F00A2">
        <w:rPr>
          <w:rFonts w:ascii="Athelas" w:hAnsi="Athelas" w:cs="Arial"/>
          <w:szCs w:val="18"/>
        </w:rPr>
        <w:t>n Sie</w:t>
      </w:r>
      <w:r w:rsidRPr="00595D48">
        <w:rPr>
          <w:rFonts w:ascii="Athelas" w:hAnsi="Athelas" w:cs="Arial"/>
          <w:szCs w:val="18"/>
        </w:rPr>
        <w:t>, aber frage</w:t>
      </w:r>
      <w:r w:rsidR="009F00A2">
        <w:rPr>
          <w:rFonts w:ascii="Athelas" w:hAnsi="Athelas" w:cs="Arial"/>
          <w:szCs w:val="18"/>
        </w:rPr>
        <w:t>n Sie</w:t>
      </w:r>
      <w:r w:rsidRPr="00595D48">
        <w:rPr>
          <w:rFonts w:ascii="Athelas" w:hAnsi="Athelas" w:cs="Arial"/>
          <w:szCs w:val="18"/>
        </w:rPr>
        <w:t xml:space="preserve"> nicht weiter aus. Eine Beurteilung von Aussagen oder eine </w:t>
      </w:r>
      <w:r w:rsidR="009F00A2">
        <w:rPr>
          <w:rFonts w:ascii="Athelas" w:hAnsi="Athelas" w:cs="Arial"/>
          <w:szCs w:val="18"/>
        </w:rPr>
        <w:t xml:space="preserve">detaillierte </w:t>
      </w:r>
      <w:r w:rsidRPr="00595D48">
        <w:rPr>
          <w:rFonts w:ascii="Athelas" w:hAnsi="Athelas" w:cs="Arial"/>
          <w:szCs w:val="18"/>
        </w:rPr>
        <w:t xml:space="preserve">Erstbefragung liegen nicht </w:t>
      </w:r>
      <w:r w:rsidR="009F00A2">
        <w:rPr>
          <w:rFonts w:ascii="Athelas" w:hAnsi="Athelas" w:cs="Arial"/>
          <w:szCs w:val="18"/>
        </w:rPr>
        <w:t xml:space="preserve">im </w:t>
      </w:r>
      <w:r w:rsidR="00DE739F">
        <w:rPr>
          <w:rFonts w:ascii="Athelas" w:hAnsi="Athelas" w:cs="Arial"/>
          <w:szCs w:val="18"/>
        </w:rPr>
        <w:t xml:space="preserve">Ihrem </w:t>
      </w:r>
      <w:r w:rsidR="009F00A2">
        <w:rPr>
          <w:rFonts w:ascii="Athelas" w:hAnsi="Athelas" w:cs="Arial"/>
          <w:szCs w:val="18"/>
        </w:rPr>
        <w:t>Aufgabenbereich</w:t>
      </w:r>
      <w:r w:rsidRPr="00595D48">
        <w:rPr>
          <w:rFonts w:ascii="Athelas" w:hAnsi="Athelas" w:cs="Arial"/>
          <w:szCs w:val="18"/>
        </w:rPr>
        <w:t>.</w:t>
      </w:r>
    </w:p>
    <w:p w:rsidR="009F00A2" w:rsidRPr="00595D48" w:rsidRDefault="009F00A2" w:rsidP="009F00A2">
      <w:pPr>
        <w:pStyle w:val="Listenabsatz"/>
        <w:autoSpaceDE w:val="0"/>
        <w:autoSpaceDN w:val="0"/>
        <w:adjustRightInd w:val="0"/>
        <w:spacing w:after="60"/>
        <w:ind w:left="426"/>
        <w:rPr>
          <w:rFonts w:ascii="Athelas" w:hAnsi="Athelas" w:cs="Arial"/>
          <w:szCs w:val="18"/>
        </w:rPr>
      </w:pPr>
    </w:p>
    <w:p w:rsidR="00A26477" w:rsidRPr="00595D48" w:rsidRDefault="00A26477" w:rsidP="00A26477">
      <w:pPr>
        <w:pStyle w:val="Listenabsatz"/>
        <w:numPr>
          <w:ilvl w:val="0"/>
          <w:numId w:val="15"/>
        </w:numPr>
        <w:autoSpaceDE w:val="0"/>
        <w:autoSpaceDN w:val="0"/>
        <w:adjustRightInd w:val="0"/>
        <w:spacing w:after="60"/>
        <w:ind w:left="426"/>
        <w:rPr>
          <w:rFonts w:ascii="Athelas" w:hAnsi="Athelas" w:cs="Arial"/>
          <w:szCs w:val="18"/>
        </w:rPr>
      </w:pPr>
      <w:r w:rsidRPr="00595D48">
        <w:rPr>
          <w:rFonts w:ascii="Athelas" w:hAnsi="Athelas" w:cs="Arial"/>
          <w:b/>
          <w:szCs w:val="18"/>
        </w:rPr>
        <w:t>Dokumentation</w:t>
      </w:r>
      <w:r w:rsidRPr="00595D48">
        <w:rPr>
          <w:rFonts w:ascii="Athelas" w:hAnsi="Athelas" w:cs="Arial"/>
          <w:szCs w:val="18"/>
        </w:rPr>
        <w:t>: Mache</w:t>
      </w:r>
      <w:r w:rsidR="009F00A2">
        <w:rPr>
          <w:rFonts w:ascii="Athelas" w:hAnsi="Athelas" w:cs="Arial"/>
          <w:szCs w:val="18"/>
        </w:rPr>
        <w:t>n</w:t>
      </w:r>
      <w:r w:rsidRPr="00595D48">
        <w:rPr>
          <w:rFonts w:ascii="Athelas" w:hAnsi="Athelas" w:cs="Arial"/>
          <w:szCs w:val="18"/>
        </w:rPr>
        <w:t xml:space="preserve"> </w:t>
      </w:r>
      <w:r w:rsidR="009F00A2">
        <w:rPr>
          <w:rFonts w:ascii="Athelas" w:hAnsi="Athelas" w:cs="Arial"/>
          <w:szCs w:val="18"/>
        </w:rPr>
        <w:t>Sie</w:t>
      </w:r>
      <w:r w:rsidRPr="00595D48">
        <w:rPr>
          <w:rFonts w:ascii="Athelas" w:hAnsi="Athelas" w:cs="Arial"/>
          <w:szCs w:val="18"/>
        </w:rPr>
        <w:t xml:space="preserve"> zeitnah Notizen von Beobachtungen und Bemerkungen des </w:t>
      </w:r>
      <w:proofErr w:type="spellStart"/>
      <w:r w:rsidRPr="00595D48">
        <w:rPr>
          <w:rFonts w:ascii="Athelas" w:hAnsi="Athelas" w:cs="Arial"/>
          <w:szCs w:val="18"/>
        </w:rPr>
        <w:t>mutmasslichen</w:t>
      </w:r>
      <w:proofErr w:type="spellEnd"/>
      <w:r w:rsidRPr="00595D48">
        <w:rPr>
          <w:rFonts w:ascii="Athelas" w:hAnsi="Athelas" w:cs="Arial"/>
          <w:szCs w:val="18"/>
        </w:rPr>
        <w:t xml:space="preserve"> Opfers und trenne</w:t>
      </w:r>
      <w:r w:rsidR="009F00A2">
        <w:rPr>
          <w:rFonts w:ascii="Athelas" w:hAnsi="Athelas" w:cs="Arial"/>
          <w:szCs w:val="18"/>
        </w:rPr>
        <w:t>n Sie</w:t>
      </w:r>
      <w:r w:rsidRPr="00595D48">
        <w:rPr>
          <w:rFonts w:ascii="Athelas" w:hAnsi="Athelas" w:cs="Arial"/>
          <w:szCs w:val="18"/>
        </w:rPr>
        <w:t xml:space="preserve"> dabei möglichst von deinen eigenen Interpretationen.</w:t>
      </w:r>
      <w:r w:rsidRPr="00595D48">
        <w:rPr>
          <w:rFonts w:ascii="Athelas" w:hAnsi="Athelas" w:cs="Arial"/>
          <w:szCs w:val="18"/>
        </w:rPr>
        <w:br/>
      </w:r>
    </w:p>
    <w:p w:rsidR="00A26477" w:rsidRPr="00595D48" w:rsidRDefault="00A26477" w:rsidP="00A26477">
      <w:pPr>
        <w:pStyle w:val="Listenabsatz"/>
        <w:numPr>
          <w:ilvl w:val="0"/>
          <w:numId w:val="15"/>
        </w:numPr>
        <w:autoSpaceDE w:val="0"/>
        <w:autoSpaceDN w:val="0"/>
        <w:adjustRightInd w:val="0"/>
        <w:spacing w:after="60"/>
        <w:ind w:left="426"/>
        <w:rPr>
          <w:rFonts w:ascii="Athelas" w:hAnsi="Athelas" w:cs="Arial"/>
          <w:szCs w:val="18"/>
        </w:rPr>
      </w:pPr>
      <w:r w:rsidRPr="00595D48">
        <w:rPr>
          <w:rFonts w:ascii="Athelas" w:hAnsi="Athelas" w:cs="Arial"/>
          <w:b/>
          <w:szCs w:val="18"/>
        </w:rPr>
        <w:t>Keine Konfrontation der Beschuldigten</w:t>
      </w:r>
      <w:r w:rsidRPr="00595D48">
        <w:rPr>
          <w:rFonts w:ascii="Athelas" w:hAnsi="Athelas" w:cs="Arial"/>
          <w:szCs w:val="18"/>
        </w:rPr>
        <w:t xml:space="preserve">: </w:t>
      </w:r>
      <w:r w:rsidR="009F00A2">
        <w:rPr>
          <w:rFonts w:ascii="Athelas" w:hAnsi="Athelas" w:cs="Arial"/>
          <w:szCs w:val="18"/>
        </w:rPr>
        <w:t>V</w:t>
      </w:r>
      <w:r w:rsidRPr="00595D48">
        <w:rPr>
          <w:rFonts w:ascii="Athelas" w:hAnsi="Athelas" w:cs="Arial"/>
          <w:szCs w:val="18"/>
        </w:rPr>
        <w:t>erdächtigte Person</w:t>
      </w:r>
      <w:r w:rsidR="009F00A2">
        <w:rPr>
          <w:rFonts w:ascii="Athelas" w:hAnsi="Athelas" w:cs="Arial"/>
          <w:szCs w:val="18"/>
        </w:rPr>
        <w:t>en dürfen</w:t>
      </w:r>
      <w:r w:rsidRPr="00595D48">
        <w:rPr>
          <w:rFonts w:ascii="Athelas" w:hAnsi="Athelas" w:cs="Arial"/>
          <w:szCs w:val="18"/>
        </w:rPr>
        <w:t xml:space="preserve"> auf keinen Fall direkt auf einen Verdacht auf Straftaten an</w:t>
      </w:r>
      <w:r w:rsidR="009F00A2">
        <w:rPr>
          <w:rFonts w:ascii="Athelas" w:hAnsi="Athelas" w:cs="Arial"/>
          <w:szCs w:val="18"/>
        </w:rPr>
        <w:t>gesprochen werden</w:t>
      </w:r>
      <w:r w:rsidRPr="00595D48">
        <w:rPr>
          <w:rFonts w:ascii="Athelas" w:hAnsi="Athelas" w:cs="Arial"/>
          <w:szCs w:val="18"/>
        </w:rPr>
        <w:t>, da dies die Klärungschancen vermindert und mögliche Tatpersonen vorwarnt. Es ist immer Aufgabe der Fallführung zu entscheiden, wann Beschuldigte angehört werden.</w:t>
      </w:r>
      <w:r w:rsidRPr="00595D48">
        <w:rPr>
          <w:rFonts w:ascii="Athelas" w:hAnsi="Athelas" w:cs="Arial"/>
          <w:szCs w:val="18"/>
        </w:rPr>
        <w:br/>
      </w:r>
    </w:p>
    <w:p w:rsidR="00F53F50" w:rsidRPr="001F532E" w:rsidRDefault="00A26477" w:rsidP="00A26477">
      <w:pPr>
        <w:pStyle w:val="Listenabsatz"/>
        <w:numPr>
          <w:ilvl w:val="0"/>
          <w:numId w:val="15"/>
        </w:numPr>
        <w:tabs>
          <w:tab w:val="left" w:pos="3600"/>
        </w:tabs>
        <w:autoSpaceDE w:val="0"/>
        <w:autoSpaceDN w:val="0"/>
        <w:adjustRightInd w:val="0"/>
        <w:spacing w:after="60"/>
        <w:ind w:left="426"/>
        <w:rPr>
          <w:rFonts w:ascii="Athelas" w:hAnsi="Athelas" w:cs="Arial"/>
          <w:szCs w:val="18"/>
        </w:rPr>
      </w:pPr>
      <w:r w:rsidRPr="00595D48">
        <w:rPr>
          <w:rFonts w:ascii="Athelas" w:hAnsi="Athelas" w:cs="Arial"/>
          <w:b/>
          <w:szCs w:val="18"/>
        </w:rPr>
        <w:t xml:space="preserve">Wenn </w:t>
      </w:r>
      <w:r w:rsidR="009F00A2">
        <w:rPr>
          <w:rFonts w:ascii="Athelas" w:hAnsi="Athelas" w:cs="Arial"/>
          <w:b/>
          <w:szCs w:val="18"/>
        </w:rPr>
        <w:t>Sie</w:t>
      </w:r>
      <w:r w:rsidRPr="00595D48">
        <w:rPr>
          <w:rFonts w:ascii="Athelas" w:hAnsi="Athelas" w:cs="Arial"/>
          <w:b/>
          <w:szCs w:val="18"/>
        </w:rPr>
        <w:t xml:space="preserve"> selbst unter Verdacht steh</w:t>
      </w:r>
      <w:r w:rsidR="009F00A2">
        <w:rPr>
          <w:rFonts w:ascii="Athelas" w:hAnsi="Athelas" w:cs="Arial"/>
          <w:b/>
          <w:szCs w:val="18"/>
        </w:rPr>
        <w:t>en</w:t>
      </w:r>
      <w:r w:rsidRPr="00595D48">
        <w:rPr>
          <w:rFonts w:ascii="Athelas" w:hAnsi="Athelas" w:cs="Arial"/>
          <w:szCs w:val="18"/>
        </w:rPr>
        <w:t xml:space="preserve">: </w:t>
      </w:r>
      <w:r w:rsidR="009F00A2">
        <w:rPr>
          <w:rFonts w:ascii="Athelas" w:hAnsi="Athelas" w:cs="Arial"/>
          <w:szCs w:val="18"/>
        </w:rPr>
        <w:t xml:space="preserve">Die Kirche nimmt </w:t>
      </w:r>
      <w:r w:rsidRPr="00595D48">
        <w:rPr>
          <w:rFonts w:ascii="Athelas" w:hAnsi="Athelas" w:cs="Arial"/>
          <w:szCs w:val="18"/>
        </w:rPr>
        <w:t>alle Verdachtsmomente ernst bzw. führ</w:t>
      </w:r>
      <w:r w:rsidR="009F00A2">
        <w:rPr>
          <w:rFonts w:ascii="Athelas" w:hAnsi="Athelas" w:cs="Arial"/>
          <w:szCs w:val="18"/>
        </w:rPr>
        <w:t>t</w:t>
      </w:r>
      <w:r w:rsidRPr="00595D48">
        <w:rPr>
          <w:rFonts w:ascii="Athelas" w:hAnsi="Athelas" w:cs="Arial"/>
          <w:szCs w:val="18"/>
        </w:rPr>
        <w:t xml:space="preserve"> </w:t>
      </w:r>
      <w:r w:rsidR="009F00A2">
        <w:rPr>
          <w:rFonts w:ascii="Athelas" w:hAnsi="Athelas" w:cs="Arial"/>
          <w:szCs w:val="18"/>
        </w:rPr>
        <w:t>diese</w:t>
      </w:r>
      <w:r w:rsidRPr="00595D48">
        <w:rPr>
          <w:rFonts w:ascii="Athelas" w:hAnsi="Athelas" w:cs="Arial"/>
          <w:szCs w:val="18"/>
        </w:rPr>
        <w:t xml:space="preserve"> einer sorgfältigen Klärung</w:t>
      </w:r>
      <w:r>
        <w:rPr>
          <w:rFonts w:ascii="Athelas" w:hAnsi="Athelas" w:cs="Arial"/>
          <w:szCs w:val="18"/>
        </w:rPr>
        <w:t xml:space="preserve"> mit externer Beratung</w:t>
      </w:r>
      <w:r w:rsidR="009F00A2">
        <w:rPr>
          <w:rFonts w:ascii="Athelas" w:hAnsi="Athelas" w:cs="Arial"/>
          <w:szCs w:val="18"/>
        </w:rPr>
        <w:t xml:space="preserve"> zu</w:t>
      </w:r>
      <w:r w:rsidRPr="00595D48">
        <w:rPr>
          <w:rFonts w:ascii="Athelas" w:hAnsi="Athelas" w:cs="Arial"/>
          <w:szCs w:val="18"/>
        </w:rPr>
        <w:t xml:space="preserve">. Als beschuldigte </w:t>
      </w:r>
      <w:r>
        <w:rPr>
          <w:rFonts w:ascii="Athelas" w:hAnsi="Athelas" w:cs="Arial"/>
          <w:szCs w:val="18"/>
        </w:rPr>
        <w:t>Person</w:t>
      </w:r>
      <w:r w:rsidRPr="00595D48">
        <w:rPr>
          <w:rFonts w:ascii="Athelas" w:hAnsi="Athelas" w:cs="Arial"/>
          <w:szCs w:val="18"/>
        </w:rPr>
        <w:t xml:space="preserve"> </w:t>
      </w:r>
      <w:r w:rsidR="009F00A2">
        <w:rPr>
          <w:rFonts w:ascii="Athelas" w:hAnsi="Athelas" w:cs="Arial"/>
          <w:szCs w:val="18"/>
        </w:rPr>
        <w:t>können Sie</w:t>
      </w:r>
      <w:r w:rsidRPr="00595D48">
        <w:rPr>
          <w:rFonts w:ascii="Athelas" w:hAnsi="Athelas" w:cs="Arial"/>
          <w:szCs w:val="18"/>
        </w:rPr>
        <w:t xml:space="preserve"> auf ein sorgsames, zielgerichtetes und professionelles Vorgehen zählen. Es gilt die Unschuldsvermutung, bis ein Verdacht bestätigt oder verworfen ist. </w:t>
      </w:r>
      <w:bookmarkStart w:id="0" w:name="_GoBack"/>
      <w:bookmarkEnd w:id="0"/>
    </w:p>
    <w:sectPr w:rsidR="00F53F50" w:rsidRPr="001F532E" w:rsidSect="001F532E">
      <w:headerReference w:type="default" r:id="rId7"/>
      <w:headerReference w:type="first" r:id="rId8"/>
      <w:pgSz w:w="11906" w:h="16838" w:code="9"/>
      <w:pgMar w:top="1860" w:right="1134" w:bottom="1814" w:left="1134" w:header="48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B3" w:rsidRDefault="008075B3" w:rsidP="00C36F5B">
      <w:r>
        <w:separator/>
      </w:r>
    </w:p>
  </w:endnote>
  <w:endnote w:type="continuationSeparator" w:id="0">
    <w:p w:rsidR="008075B3" w:rsidRDefault="008075B3" w:rsidP="00C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thelas">
    <w:altName w:val="Corbel"/>
    <w:charset w:val="00"/>
    <w:family w:val="auto"/>
    <w:pitch w:val="variable"/>
    <w:sig w:usb0="00000001" w:usb1="5000205B" w:usb2="00000000" w:usb3="00000000" w:csb0="0000009B"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B3" w:rsidRDefault="008075B3" w:rsidP="00C36F5B">
      <w:r>
        <w:separator/>
      </w:r>
    </w:p>
  </w:footnote>
  <w:footnote w:type="continuationSeparator" w:id="0">
    <w:p w:rsidR="008075B3" w:rsidRDefault="008075B3" w:rsidP="00C36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7F" w:rsidRDefault="00D9177F" w:rsidP="00AD7046">
    <w:pPr>
      <w:pStyle w:val="Kopfzeile"/>
      <w:spacing w:line="3420" w:lineRule="exact"/>
    </w:pPr>
    <w:r>
      <w:rPr>
        <w:noProof/>
        <w:lang w:val="de-CH" w:eastAsia="de-CH"/>
      </w:rPr>
      <w:drawing>
        <wp:anchor distT="0" distB="0" distL="114300" distR="114300" simplePos="0" relativeHeight="251662336" behindDoc="0" locked="1" layoutInCell="1" allowOverlap="1" wp14:anchorId="6CF3595F" wp14:editId="4EB87E4F">
          <wp:simplePos x="0" y="0"/>
          <wp:positionH relativeFrom="page">
            <wp:posOffset>428625</wp:posOffset>
          </wp:positionH>
          <wp:positionV relativeFrom="page">
            <wp:posOffset>306070</wp:posOffset>
          </wp:positionV>
          <wp:extent cx="2039760" cy="469800"/>
          <wp:effectExtent l="0" t="0" r="0" b="6985"/>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039760" cy="469800"/>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61312" behindDoc="0" locked="1" layoutInCell="1" allowOverlap="1" wp14:anchorId="16D26CA7" wp14:editId="219EEEE1">
          <wp:simplePos x="0" y="0"/>
          <wp:positionH relativeFrom="page">
            <wp:posOffset>428625</wp:posOffset>
          </wp:positionH>
          <wp:positionV relativeFrom="page">
            <wp:posOffset>10088245</wp:posOffset>
          </wp:positionV>
          <wp:extent cx="3475440" cy="310680"/>
          <wp:effectExtent l="0" t="0" r="0" b="0"/>
          <wp:wrapNone/>
          <wp:docPr id="8" name="fuss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475440" cy="310680"/>
                  </a:xfrm>
                  <a:prstGeom prst="rect">
                    <a:avLst/>
                  </a:prstGeom>
                </pic:spPr>
              </pic:pic>
            </a:graphicData>
          </a:graphic>
          <wp14:sizeRelH relativeFrom="margin">
            <wp14:pctWidth>0</wp14:pctWidth>
          </wp14:sizeRelH>
          <wp14:sizeRelV relativeFrom="margin">
            <wp14:pctHeight>0</wp14:pctHeight>
          </wp14:sizeRelV>
        </wp:anchor>
      </w:drawing>
    </w:r>
  </w:p>
  <w:p w:rsidR="00D9177F" w:rsidRPr="00736809" w:rsidRDefault="00D9177F" w:rsidP="00EE2AFC">
    <w:pPr>
      <w:pStyle w:val="PaginaKopfzeile"/>
      <w:framePr w:wrap="around"/>
    </w:pPr>
    <w:r>
      <w:fldChar w:fldCharType="begin"/>
    </w:r>
    <w:r>
      <w:instrText xml:space="preserve"> PAGE  </w:instrText>
    </w:r>
    <w:r>
      <w:fldChar w:fldCharType="separate"/>
    </w:r>
    <w:r w:rsidR="001F532E">
      <w:rPr>
        <w:noProof/>
      </w:rPr>
      <w:t>2</w:t>
    </w:r>
    <w:r>
      <w:fldChar w:fldCharType="end"/>
    </w:r>
    <w:r>
      <w:t>/</w:t>
    </w:r>
    <w:r w:rsidR="00BA5107">
      <w:fldChar w:fldCharType="begin"/>
    </w:r>
    <w:r w:rsidR="00BA5107">
      <w:instrText xml:space="preserve"> NUMPAGES  </w:instrText>
    </w:r>
    <w:r w:rsidR="00BA5107">
      <w:fldChar w:fldCharType="separate"/>
    </w:r>
    <w:r w:rsidR="001F532E">
      <w:rPr>
        <w:noProof/>
      </w:rPr>
      <w:t>2</w:t>
    </w:r>
    <w:r w:rsidR="00BA510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7F" w:rsidRDefault="00D9177F">
    <w:pPr>
      <w:pStyle w:val="Kopfzeile"/>
    </w:pPr>
    <w:r>
      <w:rPr>
        <w:noProof/>
        <w:lang w:val="de-CH" w:eastAsia="de-CH"/>
      </w:rPr>
      <w:drawing>
        <wp:anchor distT="0" distB="0" distL="114300" distR="114300" simplePos="0" relativeHeight="251659264" behindDoc="0" locked="1" layoutInCell="1" allowOverlap="1">
          <wp:simplePos x="0" y="0"/>
          <wp:positionH relativeFrom="page">
            <wp:posOffset>428625</wp:posOffset>
          </wp:positionH>
          <wp:positionV relativeFrom="page">
            <wp:posOffset>306070</wp:posOffset>
          </wp:positionV>
          <wp:extent cx="2039760" cy="469800"/>
          <wp:effectExtent l="0" t="0" r="0" b="6985"/>
          <wp:wrapNone/>
          <wp:docPr id="2"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039760" cy="469800"/>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58240" behindDoc="0" locked="1" layoutInCell="1" allowOverlap="1">
          <wp:simplePos x="0" y="0"/>
          <wp:positionH relativeFrom="page">
            <wp:posOffset>428625</wp:posOffset>
          </wp:positionH>
          <wp:positionV relativeFrom="page">
            <wp:posOffset>10088245</wp:posOffset>
          </wp:positionV>
          <wp:extent cx="3475440" cy="310680"/>
          <wp:effectExtent l="0" t="0" r="0" b="0"/>
          <wp:wrapNone/>
          <wp:docPr id="1" name="fuss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475440" cy="310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F7DF1"/>
    <w:multiLevelType w:val="hybridMultilevel"/>
    <w:tmpl w:val="BA222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A84AEC"/>
    <w:multiLevelType w:val="multilevel"/>
    <w:tmpl w:val="5C2A26A2"/>
    <w:styleLink w:val="berschriftenList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3" w15:restartNumberingAfterBreak="0">
    <w:nsid w:val="1CBD45B5"/>
    <w:multiLevelType w:val="multilevel"/>
    <w:tmpl w:val="6B5AC13A"/>
    <w:styleLink w:val="AufzhlungListe"/>
    <w:lvl w:ilvl="0">
      <w:start w:val="1"/>
      <w:numFmt w:val="bullet"/>
      <w:pStyle w:val="Aufzhlungszeichen"/>
      <w:lvlText w:val="•"/>
      <w:lvlJc w:val="left"/>
      <w:pPr>
        <w:tabs>
          <w:tab w:val="num" w:pos="284"/>
        </w:tabs>
        <w:ind w:left="284" w:hanging="284"/>
      </w:pPr>
      <w:rPr>
        <w:rFonts w:ascii="Calibri" w:hAnsi="Calibri" w:hint="default"/>
      </w:rPr>
    </w:lvl>
    <w:lvl w:ilvl="1">
      <w:start w:val="1"/>
      <w:numFmt w:val="bullet"/>
      <w:lvlText w:val="•"/>
      <w:lvlJc w:val="left"/>
      <w:pPr>
        <w:tabs>
          <w:tab w:val="num" w:pos="568"/>
        </w:tabs>
        <w:ind w:left="568" w:hanging="284"/>
      </w:pPr>
      <w:rPr>
        <w:rFonts w:ascii="Calibri" w:hAnsi="Calibri" w:hint="default"/>
      </w:rPr>
    </w:lvl>
    <w:lvl w:ilvl="2">
      <w:start w:val="1"/>
      <w:numFmt w:val="bullet"/>
      <w:lvlText w:val="•"/>
      <w:lvlJc w:val="left"/>
      <w:pPr>
        <w:tabs>
          <w:tab w:val="num" w:pos="852"/>
        </w:tabs>
        <w:ind w:left="852" w:hanging="284"/>
      </w:pPr>
      <w:rPr>
        <w:rFonts w:ascii="Calibri" w:hAnsi="Calibri" w:hint="default"/>
      </w:rPr>
    </w:lvl>
    <w:lvl w:ilvl="3">
      <w:start w:val="1"/>
      <w:numFmt w:val="bullet"/>
      <w:lvlText w:val="•"/>
      <w:lvlJc w:val="left"/>
      <w:pPr>
        <w:tabs>
          <w:tab w:val="num" w:pos="1136"/>
        </w:tabs>
        <w:ind w:left="1136" w:hanging="284"/>
      </w:pPr>
      <w:rPr>
        <w:rFonts w:ascii="Calibri" w:hAnsi="Calibri" w:hint="default"/>
      </w:rPr>
    </w:lvl>
    <w:lvl w:ilvl="4">
      <w:start w:val="1"/>
      <w:numFmt w:val="bullet"/>
      <w:lvlText w:val="•"/>
      <w:lvlJc w:val="left"/>
      <w:pPr>
        <w:tabs>
          <w:tab w:val="num" w:pos="1420"/>
        </w:tabs>
        <w:ind w:left="1420" w:hanging="284"/>
      </w:pPr>
      <w:rPr>
        <w:rFonts w:ascii="Calibri" w:hAnsi="Calibri" w:hint="default"/>
      </w:rPr>
    </w:lvl>
    <w:lvl w:ilvl="5">
      <w:start w:val="1"/>
      <w:numFmt w:val="bullet"/>
      <w:lvlText w:val="•"/>
      <w:lvlJc w:val="left"/>
      <w:pPr>
        <w:tabs>
          <w:tab w:val="num" w:pos="1704"/>
        </w:tabs>
        <w:ind w:left="1704" w:hanging="284"/>
      </w:pPr>
      <w:rPr>
        <w:rFonts w:ascii="Calibri" w:hAnsi="Calibri" w:hint="default"/>
      </w:rPr>
    </w:lvl>
    <w:lvl w:ilvl="6">
      <w:start w:val="1"/>
      <w:numFmt w:val="bullet"/>
      <w:lvlText w:val="•"/>
      <w:lvlJc w:val="left"/>
      <w:pPr>
        <w:tabs>
          <w:tab w:val="num" w:pos="1988"/>
        </w:tabs>
        <w:ind w:left="1988" w:hanging="284"/>
      </w:pPr>
      <w:rPr>
        <w:rFonts w:ascii="Calibri" w:hAnsi="Calibri" w:hint="default"/>
      </w:rPr>
    </w:lvl>
    <w:lvl w:ilvl="7">
      <w:start w:val="1"/>
      <w:numFmt w:val="bullet"/>
      <w:lvlText w:val="•"/>
      <w:lvlJc w:val="left"/>
      <w:pPr>
        <w:tabs>
          <w:tab w:val="num" w:pos="2272"/>
        </w:tabs>
        <w:ind w:left="2272" w:hanging="284"/>
      </w:pPr>
      <w:rPr>
        <w:rFonts w:ascii="Calibri" w:hAnsi="Calibri" w:hint="default"/>
      </w:rPr>
    </w:lvl>
    <w:lvl w:ilvl="8">
      <w:start w:val="1"/>
      <w:numFmt w:val="bullet"/>
      <w:lvlText w:val="•"/>
      <w:lvlJc w:val="left"/>
      <w:pPr>
        <w:tabs>
          <w:tab w:val="num" w:pos="2556"/>
        </w:tabs>
        <w:ind w:left="2556" w:hanging="284"/>
      </w:pPr>
      <w:rPr>
        <w:rFonts w:ascii="Calibri" w:hAnsi="Calibri" w:hint="default"/>
      </w:rPr>
    </w:lvl>
  </w:abstractNum>
  <w:abstractNum w:abstractNumId="4" w15:restartNumberingAfterBreak="0">
    <w:nsid w:val="28A16EA1"/>
    <w:multiLevelType w:val="hybridMultilevel"/>
    <w:tmpl w:val="8E4C706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656B3E"/>
    <w:multiLevelType w:val="hybridMultilevel"/>
    <w:tmpl w:val="89806F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AE2C7E"/>
    <w:multiLevelType w:val="multilevel"/>
    <w:tmpl w:val="6B5AC13A"/>
    <w:numStyleLink w:val="AufzhlungListe"/>
  </w:abstractNum>
  <w:abstractNum w:abstractNumId="7" w15:restartNumberingAfterBreak="0">
    <w:nsid w:val="4D590A79"/>
    <w:multiLevelType w:val="hybridMultilevel"/>
    <w:tmpl w:val="E130AC54"/>
    <w:lvl w:ilvl="0" w:tplc="E63892F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AA0786"/>
    <w:multiLevelType w:val="hybridMultilevel"/>
    <w:tmpl w:val="362C885A"/>
    <w:lvl w:ilvl="0" w:tplc="24DCEF48">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6F22D4"/>
    <w:multiLevelType w:val="hybridMultilevel"/>
    <w:tmpl w:val="BAD2A790"/>
    <w:lvl w:ilvl="0" w:tplc="3438D0A8">
      <w:numFmt w:val="bullet"/>
      <w:lvlText w:val="•"/>
      <w:lvlJc w:val="left"/>
      <w:pPr>
        <w:ind w:left="648"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08727E"/>
    <w:multiLevelType w:val="hybridMultilevel"/>
    <w:tmpl w:val="4D54E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9187D26"/>
    <w:multiLevelType w:val="hybridMultilevel"/>
    <w:tmpl w:val="23804002"/>
    <w:lvl w:ilvl="0" w:tplc="24DCEF48">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26235E"/>
    <w:multiLevelType w:val="hybridMultilevel"/>
    <w:tmpl w:val="5CBAE780"/>
    <w:lvl w:ilvl="0" w:tplc="24DCEF48">
      <w:start w:val="1"/>
      <w:numFmt w:val="bullet"/>
      <w:lvlText w:val=""/>
      <w:lvlJc w:val="left"/>
      <w:pPr>
        <w:tabs>
          <w:tab w:val="num" w:pos="227"/>
        </w:tabs>
        <w:ind w:left="227" w:hanging="227"/>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12979"/>
    <w:multiLevelType w:val="hybridMultilevel"/>
    <w:tmpl w:val="633A0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386D01"/>
    <w:multiLevelType w:val="multilevel"/>
    <w:tmpl w:val="6B5AC13A"/>
    <w:numStyleLink w:val="AufzhlungListe"/>
  </w:abstractNum>
  <w:num w:numId="1">
    <w:abstractNumId w:val="0"/>
  </w:num>
  <w:num w:numId="2">
    <w:abstractNumId w:val="3"/>
  </w:num>
  <w:num w:numId="3">
    <w:abstractNumId w:val="6"/>
  </w:num>
  <w:num w:numId="4">
    <w:abstractNumId w:val="2"/>
  </w:num>
  <w:num w:numId="5">
    <w:abstractNumId w:val="14"/>
  </w:num>
  <w:num w:numId="6">
    <w:abstractNumId w:val="5"/>
  </w:num>
  <w:num w:numId="7">
    <w:abstractNumId w:val="1"/>
  </w:num>
  <w:num w:numId="8">
    <w:abstractNumId w:val="9"/>
  </w:num>
  <w:num w:numId="9">
    <w:abstractNumId w:val="12"/>
  </w:num>
  <w:num w:numId="10">
    <w:abstractNumId w:val="11"/>
  </w:num>
  <w:num w:numId="11">
    <w:abstractNumId w:val="8"/>
  </w:num>
  <w:num w:numId="12">
    <w:abstractNumId w:val="7"/>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DB"/>
    <w:rsid w:val="00024C94"/>
    <w:rsid w:val="00064B04"/>
    <w:rsid w:val="00097D4F"/>
    <w:rsid w:val="000C26DF"/>
    <w:rsid w:val="000F399B"/>
    <w:rsid w:val="001549D8"/>
    <w:rsid w:val="001920FF"/>
    <w:rsid w:val="001B1B51"/>
    <w:rsid w:val="001B37BA"/>
    <w:rsid w:val="001F532E"/>
    <w:rsid w:val="00236EF0"/>
    <w:rsid w:val="00255C8F"/>
    <w:rsid w:val="002A2DA9"/>
    <w:rsid w:val="002C340B"/>
    <w:rsid w:val="002E4A0F"/>
    <w:rsid w:val="00303172"/>
    <w:rsid w:val="003077E7"/>
    <w:rsid w:val="0034145C"/>
    <w:rsid w:val="0036222B"/>
    <w:rsid w:val="00424482"/>
    <w:rsid w:val="0042534E"/>
    <w:rsid w:val="004407B4"/>
    <w:rsid w:val="004444CE"/>
    <w:rsid w:val="00462ADB"/>
    <w:rsid w:val="004F5F41"/>
    <w:rsid w:val="00513217"/>
    <w:rsid w:val="005237E9"/>
    <w:rsid w:val="00570CA4"/>
    <w:rsid w:val="00652CDB"/>
    <w:rsid w:val="006B2524"/>
    <w:rsid w:val="006D48D2"/>
    <w:rsid w:val="0071215F"/>
    <w:rsid w:val="00732EA0"/>
    <w:rsid w:val="00736809"/>
    <w:rsid w:val="007432FE"/>
    <w:rsid w:val="0076582D"/>
    <w:rsid w:val="007A0CB7"/>
    <w:rsid w:val="007B0242"/>
    <w:rsid w:val="007C06FB"/>
    <w:rsid w:val="007C3AE8"/>
    <w:rsid w:val="007C6337"/>
    <w:rsid w:val="007F5613"/>
    <w:rsid w:val="008075B3"/>
    <w:rsid w:val="00871A95"/>
    <w:rsid w:val="00882C70"/>
    <w:rsid w:val="00882E5A"/>
    <w:rsid w:val="00891F38"/>
    <w:rsid w:val="00917F93"/>
    <w:rsid w:val="00977344"/>
    <w:rsid w:val="00980907"/>
    <w:rsid w:val="00981561"/>
    <w:rsid w:val="009C0A52"/>
    <w:rsid w:val="009D2A39"/>
    <w:rsid w:val="009F00A2"/>
    <w:rsid w:val="00A26477"/>
    <w:rsid w:val="00A93781"/>
    <w:rsid w:val="00AA2230"/>
    <w:rsid w:val="00AB0B70"/>
    <w:rsid w:val="00AD7046"/>
    <w:rsid w:val="00B34289"/>
    <w:rsid w:val="00B71D23"/>
    <w:rsid w:val="00BA5107"/>
    <w:rsid w:val="00BD01E7"/>
    <w:rsid w:val="00BD4693"/>
    <w:rsid w:val="00C20E3F"/>
    <w:rsid w:val="00C36F5B"/>
    <w:rsid w:val="00CB7DC1"/>
    <w:rsid w:val="00D066DB"/>
    <w:rsid w:val="00D40438"/>
    <w:rsid w:val="00D43C7F"/>
    <w:rsid w:val="00D6733D"/>
    <w:rsid w:val="00D72024"/>
    <w:rsid w:val="00D9177F"/>
    <w:rsid w:val="00DA236F"/>
    <w:rsid w:val="00DB15BC"/>
    <w:rsid w:val="00DE739F"/>
    <w:rsid w:val="00DF32DD"/>
    <w:rsid w:val="00E7696E"/>
    <w:rsid w:val="00EC4C24"/>
    <w:rsid w:val="00ED55E3"/>
    <w:rsid w:val="00EE2AFC"/>
    <w:rsid w:val="00F3181B"/>
    <w:rsid w:val="00F3796D"/>
    <w:rsid w:val="00F53F50"/>
    <w:rsid w:val="00F60C1C"/>
    <w:rsid w:val="00F749C0"/>
    <w:rsid w:val="00FD3C0C"/>
    <w:rsid w:val="00FE0A84"/>
    <w:rsid w:val="00FF14E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066C04-4AC5-804A-A7DC-62EB5ABB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2"/>
        <w:szCs w:val="22"/>
        <w:lang w:val="de-CH" w:eastAsia="en-US" w:bidi="ar-SA"/>
      </w:rPr>
    </w:rPrDefault>
    <w:pPrDefault>
      <w:pPr>
        <w:spacing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7F93"/>
    <w:pPr>
      <w:spacing w:line="240" w:lineRule="auto"/>
    </w:pPr>
    <w:rPr>
      <w:rFonts w:ascii="Verdana" w:eastAsia="Times New Roman" w:hAnsi="Verdana" w:cs="Times New Roman"/>
      <w:sz w:val="18"/>
      <w:szCs w:val="24"/>
      <w:lang w:val="de-DE" w:eastAsia="de-DE"/>
    </w:rPr>
  </w:style>
  <w:style w:type="paragraph" w:styleId="berschrift1">
    <w:name w:val="heading 1"/>
    <w:basedOn w:val="Standard"/>
    <w:next w:val="Standard"/>
    <w:link w:val="berschrift1Zchn"/>
    <w:uiPriority w:val="9"/>
    <w:qFormat/>
    <w:rsid w:val="00024C94"/>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24C94"/>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24C94"/>
    <w:pPr>
      <w:keepNext/>
      <w:keepLines/>
      <w:numPr>
        <w:ilvl w:val="2"/>
        <w:numId w:val="4"/>
      </w:numPr>
      <w:spacing w:before="4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024C94"/>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24C94"/>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24C94"/>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24C94"/>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24C9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24C9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E2AFC"/>
    <w:tblPr>
      <w:tblCellMar>
        <w:left w:w="0" w:type="dxa"/>
        <w:right w:w="0" w:type="dxa"/>
      </w:tblCellMar>
    </w:tblPr>
  </w:style>
  <w:style w:type="paragraph" w:styleId="Kopfzeile">
    <w:name w:val="header"/>
    <w:basedOn w:val="Standard"/>
    <w:link w:val="KopfzeileZchn"/>
    <w:uiPriority w:val="99"/>
    <w:unhideWhenUsed/>
    <w:rsid w:val="00981561"/>
    <w:pPr>
      <w:tabs>
        <w:tab w:val="center" w:pos="4536"/>
        <w:tab w:val="right" w:pos="9072"/>
      </w:tabs>
    </w:pPr>
  </w:style>
  <w:style w:type="character" w:customStyle="1" w:styleId="KopfzeileZchn">
    <w:name w:val="Kopfzeile Zchn"/>
    <w:basedOn w:val="Absatz-Standardschriftart"/>
    <w:link w:val="Kopfzeile"/>
    <w:uiPriority w:val="99"/>
    <w:rsid w:val="00981561"/>
  </w:style>
  <w:style w:type="paragraph" w:styleId="Fuzeile">
    <w:name w:val="footer"/>
    <w:basedOn w:val="Standard"/>
    <w:link w:val="FuzeileZchn"/>
    <w:uiPriority w:val="99"/>
    <w:unhideWhenUsed/>
    <w:rsid w:val="00C36F5B"/>
    <w:pPr>
      <w:tabs>
        <w:tab w:val="center" w:pos="4536"/>
        <w:tab w:val="right" w:pos="9072"/>
      </w:tabs>
    </w:pPr>
  </w:style>
  <w:style w:type="character" w:customStyle="1" w:styleId="FuzeileZchn">
    <w:name w:val="Fußzeile Zchn"/>
    <w:basedOn w:val="Absatz-Standardschriftart"/>
    <w:link w:val="Fuzeile"/>
    <w:uiPriority w:val="99"/>
    <w:rsid w:val="00C36F5B"/>
  </w:style>
  <w:style w:type="paragraph" w:styleId="Aufzhlungszeichen">
    <w:name w:val="List Bullet"/>
    <w:basedOn w:val="Standard"/>
    <w:uiPriority w:val="99"/>
    <w:unhideWhenUsed/>
    <w:rsid w:val="004444CE"/>
    <w:pPr>
      <w:numPr>
        <w:numId w:val="5"/>
      </w:numPr>
    </w:pPr>
  </w:style>
  <w:style w:type="numbering" w:customStyle="1" w:styleId="AufzhlungListe">
    <w:name w:val="Aufzählung Liste"/>
    <w:uiPriority w:val="99"/>
    <w:rsid w:val="007A0CB7"/>
    <w:pPr>
      <w:numPr>
        <w:numId w:val="2"/>
      </w:numPr>
    </w:pPr>
  </w:style>
  <w:style w:type="numbering" w:customStyle="1" w:styleId="berschriftenListe">
    <w:name w:val="Überschriften Liste"/>
    <w:uiPriority w:val="99"/>
    <w:rsid w:val="00024C94"/>
    <w:pPr>
      <w:numPr>
        <w:numId w:val="4"/>
      </w:numPr>
    </w:pPr>
  </w:style>
  <w:style w:type="character" w:customStyle="1" w:styleId="berschrift1Zchn">
    <w:name w:val="Überschrift 1 Zchn"/>
    <w:basedOn w:val="Absatz-Standardschriftart"/>
    <w:link w:val="berschrift1"/>
    <w:uiPriority w:val="9"/>
    <w:rsid w:val="00024C9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024C9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024C9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24C9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24C9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24C9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24C9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customStyle="1" w:styleId="PaginaKopfzeile">
    <w:name w:val="Pagina_Kopfzeile"/>
    <w:basedOn w:val="Kopfzeile"/>
    <w:rsid w:val="00AD7046"/>
    <w:pPr>
      <w:framePr w:w="1134" w:wrap="around" w:vAnchor="page" w:hAnchor="margin" w:y="3097"/>
    </w:pPr>
  </w:style>
  <w:style w:type="paragraph" w:customStyle="1" w:styleId="Betreff">
    <w:name w:val="Betreff"/>
    <w:basedOn w:val="Standard"/>
    <w:qFormat/>
    <w:rsid w:val="00EE2AFC"/>
    <w:rPr>
      <w:b/>
    </w:rPr>
  </w:style>
  <w:style w:type="paragraph" w:styleId="Listenabsatz">
    <w:name w:val="List Paragraph"/>
    <w:basedOn w:val="Standard"/>
    <w:uiPriority w:val="34"/>
    <w:qFormat/>
    <w:rsid w:val="00462ADB"/>
    <w:pPr>
      <w:ind w:left="720"/>
      <w:contextualSpacing/>
    </w:pPr>
  </w:style>
  <w:style w:type="paragraph" w:customStyle="1" w:styleId="Textkrper-Einzug">
    <w:name w:val="Textkàrper-Einzug"/>
    <w:basedOn w:val="Standard"/>
    <w:rsid w:val="00917F93"/>
    <w:pPr>
      <w:tabs>
        <w:tab w:val="center" w:pos="4536"/>
      </w:tabs>
      <w:spacing w:after="240" w:line="360" w:lineRule="atLeast"/>
    </w:pPr>
    <w:rPr>
      <w:rFonts w:ascii="Times" w:hAnsi="Times"/>
      <w:noProof/>
      <w:spacing w:val="-5"/>
      <w:sz w:val="20"/>
      <w:szCs w:val="20"/>
    </w:rPr>
  </w:style>
  <w:style w:type="paragraph" w:styleId="Umschlagadresse">
    <w:name w:val="envelope address"/>
    <w:basedOn w:val="Standard"/>
    <w:next w:val="Textkrper-Einzug"/>
    <w:rsid w:val="00917F93"/>
    <w:pPr>
      <w:keepNext/>
      <w:spacing w:before="60" w:after="240" w:line="220" w:lineRule="atLeast"/>
    </w:pPr>
    <w:rPr>
      <w:rFonts w:ascii="Times New Roman" w:hAnsi="Times New Roman"/>
      <w:b/>
      <w:noProof/>
      <w:sz w:val="28"/>
      <w:szCs w:val="20"/>
    </w:rPr>
  </w:style>
  <w:style w:type="character" w:styleId="Hyperlink">
    <w:name w:val="Hyperlink"/>
    <w:basedOn w:val="Absatz-Standardschriftart"/>
    <w:uiPriority w:val="99"/>
    <w:unhideWhenUsed/>
    <w:rsid w:val="00F53F50"/>
    <w:rPr>
      <w:color w:val="0563C1" w:themeColor="hyperlink"/>
      <w:u w:val="single"/>
    </w:rPr>
  </w:style>
  <w:style w:type="character" w:styleId="BesuchterHyperlink">
    <w:name w:val="FollowedHyperlink"/>
    <w:basedOn w:val="Absatz-Standardschriftart"/>
    <w:uiPriority w:val="99"/>
    <w:semiHidden/>
    <w:unhideWhenUsed/>
    <w:rsid w:val="00303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imita">
      <a:majorFont>
        <a:latin typeface="Athelas"/>
        <a:ea typeface=""/>
        <a:cs typeface=""/>
      </a:majorFont>
      <a:minorFont>
        <a:latin typeface="Athela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Carigiet</dc:creator>
  <cp:keywords/>
  <dc:description/>
  <cp:lastModifiedBy>Beer Bettina</cp:lastModifiedBy>
  <cp:revision>2</cp:revision>
  <cp:lastPrinted>2019-04-24T16:21:00Z</cp:lastPrinted>
  <dcterms:created xsi:type="dcterms:W3CDTF">2019-11-15T08:08:00Z</dcterms:created>
  <dcterms:modified xsi:type="dcterms:W3CDTF">2019-11-15T08:08:00Z</dcterms:modified>
</cp:coreProperties>
</file>